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proofErr w:type="spellStart"/>
      <w:r w:rsidR="00E838FF" w:rsidRPr="00115B00">
        <w:t>years</w:t>
      </w:r>
      <w:proofErr w:type="spellEnd"/>
      <w:r w:rsidR="00E838FF" w:rsidRPr="00115B00">
        <w:t xml:space="preserve">: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r w:rsidRPr="006F2A70">
        <w:rPr>
          <w:rFonts w:ascii="Arial" w:hAnsi="Arial" w:cs="Arial"/>
          <w:sz w:val="24"/>
          <w:szCs w:val="24"/>
        </w:rPr>
        <w:t>eg</w:t>
      </w:r>
      <w:proofErr w:type="spell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65544A9F" w14:textId="77777777" w:rsidR="00125E32" w:rsidRPr="00B274A9" w:rsidRDefault="00125E32" w:rsidP="00125E32">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AA9E36E" w14:textId="77777777" w:rsidR="00125E32" w:rsidRDefault="00125E32" w:rsidP="00125E32">
            <w:pPr>
              <w:widowControl w:val="0"/>
              <w:rPr>
                <w:rFonts w:ascii="Arial" w:hAnsi="Arial" w:cs="Arial"/>
                <w:sz w:val="24"/>
                <w:szCs w:val="24"/>
              </w:rPr>
            </w:pPr>
            <w:r>
              <w:rPr>
                <w:rFonts w:ascii="Arial" w:hAnsi="Arial" w:cs="Arial"/>
                <w:sz w:val="24"/>
                <w:szCs w:val="24"/>
              </w:rPr>
              <w:t>Mountain Lane, Buckley</w:t>
            </w:r>
          </w:p>
          <w:p w14:paraId="22C90E01" w14:textId="77777777" w:rsidR="00654876" w:rsidRDefault="00654876" w:rsidP="00654876">
            <w:pPr>
              <w:pStyle w:val="PlainText"/>
            </w:pPr>
            <w:r>
              <w:t>[personal information redacted]</w:t>
            </w:r>
          </w:p>
          <w:p w14:paraId="51805225" w14:textId="5FD5A934" w:rsidR="00FA687E" w:rsidRPr="00B274A9" w:rsidRDefault="00FA687E" w:rsidP="00125E32">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1B1C6630" w:rsidR="00125E32" w:rsidRPr="00A07C37" w:rsidRDefault="000073BB" w:rsidP="00125E32">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1C2566C7"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52F1562C" w14:textId="77777777" w:rsidR="00125E32" w:rsidRPr="00AF141B" w:rsidRDefault="00125E32" w:rsidP="00125E32">
            <w:pPr>
              <w:spacing w:after="0" w:line="240" w:lineRule="auto"/>
              <w:rPr>
                <w:rFonts w:ascii="Arial" w:hAnsi="Arial" w:cs="Arial"/>
                <w:b/>
                <w:sz w:val="24"/>
                <w:szCs w:val="24"/>
              </w:rPr>
            </w:pPr>
            <w:r>
              <w:rPr>
                <w:rFonts w:ascii="Arial" w:hAnsi="Arial" w:cs="Arial"/>
                <w:b/>
                <w:sz w:val="24"/>
                <w:szCs w:val="24"/>
              </w:rPr>
              <w:t>Mountain lane, Buckley</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7A62064F" w:rsidR="000073BB" w:rsidRPr="00A07C37" w:rsidRDefault="00CA5076" w:rsidP="00125E32">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0A51B091" w14:textId="77777777" w:rsidR="00125E32" w:rsidRPr="0040708C" w:rsidRDefault="00125E32" w:rsidP="00125E32">
            <w:pPr>
              <w:spacing w:after="0" w:line="240" w:lineRule="auto"/>
              <w:rPr>
                <w:rFonts w:ascii="Arial" w:hAnsi="Arial" w:cs="Arial"/>
                <w:sz w:val="24"/>
                <w:szCs w:val="24"/>
              </w:rPr>
            </w:pPr>
            <w:r>
              <w:rPr>
                <w:rFonts w:ascii="Arial" w:hAnsi="Arial" w:cs="Arial"/>
                <w:sz w:val="24"/>
                <w:szCs w:val="24"/>
              </w:rPr>
              <w:t>£205,000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663804E2" w14:textId="77777777" w:rsidR="00125E32" w:rsidRPr="0040708C" w:rsidRDefault="00125E32" w:rsidP="00125E32">
            <w:pPr>
              <w:spacing w:after="0" w:line="240" w:lineRule="auto"/>
              <w:rPr>
                <w:rFonts w:ascii="Arial" w:hAnsi="Arial" w:cs="Arial"/>
                <w:sz w:val="24"/>
                <w:szCs w:val="24"/>
              </w:rPr>
            </w:pPr>
            <w:r>
              <w:rPr>
                <w:rFonts w:ascii="Arial" w:hAnsi="Arial" w:cs="Arial"/>
                <w:sz w:val="24"/>
                <w:szCs w:val="24"/>
              </w:rPr>
              <w:t>£205,000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58ECABCB" w14:textId="77777777" w:rsidR="00125E32" w:rsidRPr="00AF141B" w:rsidRDefault="00125E32" w:rsidP="00125E32">
            <w:pPr>
              <w:spacing w:after="0" w:line="240" w:lineRule="auto"/>
              <w:rPr>
                <w:rFonts w:ascii="Arial" w:hAnsi="Arial" w:cs="Arial"/>
                <w:sz w:val="24"/>
                <w:szCs w:val="24"/>
              </w:rPr>
            </w:pPr>
            <w:r>
              <w:rPr>
                <w:rFonts w:ascii="Arial" w:hAnsi="Arial" w:cs="Arial"/>
                <w:sz w:val="24"/>
                <w:szCs w:val="24"/>
              </w:rPr>
              <w:t>N/A</w:t>
            </w:r>
          </w:p>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5912B068" w14:textId="77777777" w:rsidR="00125E32" w:rsidRPr="00FB177D" w:rsidRDefault="00125E32" w:rsidP="00125E32">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w:t>
            </w:r>
            <w:proofErr w:type="spellStart"/>
            <w:r w:rsidRPr="00091917">
              <w:rPr>
                <w:rFonts w:ascii="Arial" w:hAnsi="Arial" w:cs="Arial"/>
                <w:sz w:val="24"/>
                <w:szCs w:val="24"/>
              </w:rPr>
              <w:t>ksi’s</w:t>
            </w:r>
            <w:proofErr w:type="spellEnd"/>
            <w:r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local residents</w:t>
            </w:r>
            <w:r>
              <w:rPr>
                <w:rFonts w:ascii="Arial" w:hAnsi="Arial" w:cs="Arial"/>
              </w:rPr>
              <w:t xml:space="preserve"> </w:t>
            </w:r>
            <w:r w:rsidRPr="00FB177D">
              <w:rPr>
                <w:rFonts w:ascii="Arial" w:hAnsi="Arial" w:cs="Arial"/>
                <w:sz w:val="24"/>
                <w:szCs w:val="24"/>
              </w:rPr>
              <w:t>and the community.</w:t>
            </w:r>
          </w:p>
          <w:p w14:paraId="3D065E32" w14:textId="77777777" w:rsidR="00125E32" w:rsidRPr="00FB177D" w:rsidRDefault="00125E32" w:rsidP="00125E32">
            <w:pPr>
              <w:autoSpaceDE w:val="0"/>
              <w:autoSpaceDN w:val="0"/>
              <w:spacing w:after="0" w:line="240" w:lineRule="auto"/>
              <w:rPr>
                <w:rFonts w:ascii="Arial" w:hAnsi="Arial" w:cs="Arial"/>
                <w:sz w:val="24"/>
                <w:szCs w:val="24"/>
              </w:rPr>
            </w:pPr>
          </w:p>
          <w:p w14:paraId="38588AE4" w14:textId="77777777" w:rsidR="00125E32" w:rsidRDefault="00125E32" w:rsidP="00125E32">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a large number of concerns from residents, Pupils, Parents, Teaching staff and Local Members due to concerns of both increasing volumes and speed of traffic in the vicinity of the school. Particular concern was raised in relation to motorists ignoring the advisory speed limit of 20 mph within the immediate vicinity of the school with many residents concerned for the safety of the children who utilise this route on a daily basis. </w:t>
            </w:r>
          </w:p>
          <w:p w14:paraId="37D527CB" w14:textId="77777777" w:rsidR="00125E32" w:rsidRDefault="00125E32" w:rsidP="00125E32">
            <w:pPr>
              <w:spacing w:after="0" w:line="240" w:lineRule="auto"/>
              <w:rPr>
                <w:rFonts w:ascii="Arial" w:hAnsi="Arial" w:cs="Arial"/>
                <w:sz w:val="24"/>
                <w:szCs w:val="24"/>
                <w:lang w:val="en"/>
              </w:rPr>
            </w:pPr>
          </w:p>
          <w:p w14:paraId="07645DDB" w14:textId="77777777" w:rsidR="00125E32" w:rsidRDefault="00125E32" w:rsidP="00125E32">
            <w:pPr>
              <w:spacing w:after="0" w:line="240" w:lineRule="auto"/>
              <w:rPr>
                <w:rFonts w:ascii="Arial" w:hAnsi="Arial" w:cs="Arial"/>
                <w:sz w:val="24"/>
                <w:szCs w:val="24"/>
              </w:rPr>
            </w:pPr>
            <w:r w:rsidRPr="00D0439F">
              <w:rPr>
                <w:rFonts w:ascii="Arial" w:hAnsi="Arial" w:cs="Arial"/>
                <w:sz w:val="24"/>
                <w:szCs w:val="24"/>
                <w:lang w:val="en"/>
              </w:rPr>
              <w:t>Many of the problems identified along the route relate</w:t>
            </w:r>
            <w:r>
              <w:rPr>
                <w:rFonts w:ascii="Arial" w:hAnsi="Arial" w:cs="Arial"/>
                <w:sz w:val="24"/>
                <w:szCs w:val="24"/>
                <w:lang w:val="en"/>
              </w:rPr>
              <w:t>d</w:t>
            </w:r>
            <w:r w:rsidRPr="00D0439F">
              <w:rPr>
                <w:rFonts w:ascii="Arial" w:hAnsi="Arial" w:cs="Arial"/>
                <w:sz w:val="24"/>
                <w:szCs w:val="24"/>
                <w:lang w:val="en"/>
              </w:rPr>
              <w:t xml:space="preserve"> to high levels of vehicle usage and associated congestion both within the immediate court ledge of the school as well as along a number of access routes in to the vicinity. </w:t>
            </w:r>
            <w:r w:rsidRPr="00D0439F">
              <w:rPr>
                <w:rFonts w:ascii="Arial" w:hAnsi="Arial" w:cs="Arial"/>
                <w:sz w:val="24"/>
                <w:szCs w:val="24"/>
              </w:rPr>
              <w:t xml:space="preserve">The high volume of traffic on Knowle Lane, Church Road, </w:t>
            </w:r>
            <w:proofErr w:type="spellStart"/>
            <w:r w:rsidRPr="00D0439F">
              <w:rPr>
                <w:rFonts w:ascii="Arial" w:hAnsi="Arial" w:cs="Arial"/>
                <w:sz w:val="24"/>
                <w:szCs w:val="24"/>
              </w:rPr>
              <w:t>Hawksburry</w:t>
            </w:r>
            <w:proofErr w:type="spellEnd"/>
            <w:r w:rsidRPr="00D0439F">
              <w:rPr>
                <w:rFonts w:ascii="Arial" w:hAnsi="Arial" w:cs="Arial"/>
                <w:sz w:val="24"/>
                <w:szCs w:val="24"/>
              </w:rPr>
              <w:t xml:space="preserve"> Road and </w:t>
            </w:r>
            <w:proofErr w:type="spellStart"/>
            <w:r w:rsidRPr="00D0439F">
              <w:rPr>
                <w:rFonts w:ascii="Arial" w:hAnsi="Arial" w:cs="Arial"/>
                <w:sz w:val="24"/>
                <w:szCs w:val="24"/>
              </w:rPr>
              <w:t>Linthorpe</w:t>
            </w:r>
            <w:proofErr w:type="spellEnd"/>
            <w:r w:rsidRPr="00D0439F">
              <w:rPr>
                <w:rFonts w:ascii="Arial" w:hAnsi="Arial" w:cs="Arial"/>
                <w:sz w:val="24"/>
                <w:szCs w:val="24"/>
              </w:rPr>
              <w:t xml:space="preserve"> Road particularly at the start and end of the school</w:t>
            </w:r>
            <w:r>
              <w:rPr>
                <w:rFonts w:ascii="Arial" w:hAnsi="Arial" w:cs="Arial"/>
                <w:sz w:val="24"/>
                <w:szCs w:val="24"/>
              </w:rPr>
              <w:t>.</w:t>
            </w:r>
          </w:p>
          <w:p w14:paraId="30715C7F" w14:textId="77777777" w:rsidR="00125E32" w:rsidRDefault="00125E32" w:rsidP="00125E32">
            <w:pPr>
              <w:spacing w:after="0" w:line="240" w:lineRule="auto"/>
              <w:rPr>
                <w:rFonts w:ascii="Arial" w:hAnsi="Arial" w:cs="Arial"/>
                <w:sz w:val="24"/>
                <w:szCs w:val="24"/>
              </w:rPr>
            </w:pPr>
          </w:p>
          <w:p w14:paraId="07F647FC" w14:textId="77777777" w:rsidR="00125E32" w:rsidRPr="00D0439F" w:rsidRDefault="00125E32" w:rsidP="00125E32">
            <w:pPr>
              <w:spacing w:after="0" w:line="240" w:lineRule="auto"/>
              <w:rPr>
                <w:rFonts w:ascii="Arial" w:hAnsi="Arial" w:cs="Arial"/>
                <w:sz w:val="24"/>
                <w:szCs w:val="24"/>
              </w:rPr>
            </w:pPr>
            <w:r w:rsidRPr="00D0439F">
              <w:rPr>
                <w:rFonts w:ascii="Arial" w:hAnsi="Arial" w:cs="Arial"/>
                <w:sz w:val="24"/>
                <w:szCs w:val="24"/>
              </w:rPr>
              <w:t>Indiscriminately parked vehicles along the route combined with restricted carr</w:t>
            </w:r>
            <w:r>
              <w:rPr>
                <w:rFonts w:ascii="Arial" w:hAnsi="Arial" w:cs="Arial"/>
                <w:sz w:val="24"/>
                <w:szCs w:val="24"/>
              </w:rPr>
              <w:t xml:space="preserve">iageway width on Knowle Lane were </w:t>
            </w:r>
            <w:r w:rsidRPr="00D0439F">
              <w:rPr>
                <w:rFonts w:ascii="Arial" w:hAnsi="Arial" w:cs="Arial"/>
                <w:sz w:val="24"/>
                <w:szCs w:val="24"/>
              </w:rPr>
              <w:t xml:space="preserve"> creating congestion issues as other vehicle</w:t>
            </w:r>
            <w:r>
              <w:rPr>
                <w:rFonts w:ascii="Arial" w:hAnsi="Arial" w:cs="Arial"/>
                <w:sz w:val="24"/>
                <w:szCs w:val="24"/>
              </w:rPr>
              <w:t xml:space="preserve">s, including </w:t>
            </w:r>
            <w:r>
              <w:rPr>
                <w:rFonts w:ascii="Arial" w:hAnsi="Arial" w:cs="Arial"/>
                <w:sz w:val="24"/>
                <w:szCs w:val="24"/>
              </w:rPr>
              <w:lastRenderedPageBreak/>
              <w:t>service buses, had</w:t>
            </w:r>
            <w:r w:rsidRPr="00D0439F">
              <w:rPr>
                <w:rFonts w:ascii="Arial" w:hAnsi="Arial" w:cs="Arial"/>
                <w:sz w:val="24"/>
                <w:szCs w:val="24"/>
              </w:rPr>
              <w:t xml:space="preserve"> to queue and negotiate oncoming vehicles before being able to manoeuvre and pass individual obstructio</w:t>
            </w:r>
            <w:r>
              <w:rPr>
                <w:rFonts w:ascii="Arial" w:hAnsi="Arial" w:cs="Arial"/>
                <w:sz w:val="24"/>
                <w:szCs w:val="24"/>
              </w:rPr>
              <w:t>ns which in many cases, involved</w:t>
            </w:r>
            <w:r w:rsidRPr="00D0439F">
              <w:rPr>
                <w:rFonts w:ascii="Arial" w:hAnsi="Arial" w:cs="Arial"/>
                <w:sz w:val="24"/>
                <w:szCs w:val="24"/>
              </w:rPr>
              <w:t xml:space="preserve"> vehicles driving on the footway. The resulting </w:t>
            </w:r>
            <w:r>
              <w:rPr>
                <w:rFonts w:ascii="Arial" w:hAnsi="Arial" w:cs="Arial"/>
                <w:sz w:val="24"/>
                <w:szCs w:val="24"/>
              </w:rPr>
              <w:t>que of traffic regularly extended</w:t>
            </w:r>
            <w:r w:rsidRPr="00D0439F">
              <w:rPr>
                <w:rFonts w:ascii="Arial" w:hAnsi="Arial" w:cs="Arial"/>
                <w:sz w:val="24"/>
                <w:szCs w:val="24"/>
              </w:rPr>
              <w:t xml:space="preserve"> as far as the junction with Church Road to the North and Victoria Road to the South creating a hazardous environment for children accessing Mountai</w:t>
            </w:r>
            <w:r>
              <w:rPr>
                <w:rFonts w:ascii="Arial" w:hAnsi="Arial" w:cs="Arial"/>
                <w:sz w:val="24"/>
                <w:szCs w:val="24"/>
              </w:rPr>
              <w:t xml:space="preserve">n Lane Primary School. There were </w:t>
            </w:r>
            <w:r w:rsidRPr="00D0439F">
              <w:rPr>
                <w:rFonts w:ascii="Arial" w:hAnsi="Arial" w:cs="Arial"/>
                <w:sz w:val="24"/>
                <w:szCs w:val="24"/>
              </w:rPr>
              <w:t>also parked vehicles on the footways blocking a number of junctions and pr</w:t>
            </w:r>
            <w:r>
              <w:rPr>
                <w:rFonts w:ascii="Arial" w:hAnsi="Arial" w:cs="Arial"/>
                <w:sz w:val="24"/>
                <w:szCs w:val="24"/>
              </w:rPr>
              <w:t>ivate drives which again</w:t>
            </w:r>
            <w:r w:rsidRPr="00D0439F">
              <w:rPr>
                <w:rFonts w:ascii="Arial" w:hAnsi="Arial" w:cs="Arial"/>
                <w:sz w:val="24"/>
                <w:szCs w:val="24"/>
              </w:rPr>
              <w:t xml:space="preserve"> result</w:t>
            </w:r>
            <w:r>
              <w:rPr>
                <w:rFonts w:ascii="Arial" w:hAnsi="Arial" w:cs="Arial"/>
                <w:sz w:val="24"/>
                <w:szCs w:val="24"/>
              </w:rPr>
              <w:t xml:space="preserve">ed in </w:t>
            </w:r>
            <w:r w:rsidRPr="00D0439F">
              <w:rPr>
                <w:rFonts w:ascii="Arial" w:hAnsi="Arial" w:cs="Arial"/>
                <w:sz w:val="24"/>
                <w:szCs w:val="24"/>
              </w:rPr>
              <w:t xml:space="preserve">forcing children and parents to walk in the live carriageway.  </w:t>
            </w:r>
          </w:p>
          <w:p w14:paraId="0E344BD7" w14:textId="77777777" w:rsidR="00125E32" w:rsidRDefault="00125E32" w:rsidP="00125E32">
            <w:pPr>
              <w:spacing w:after="0" w:line="240" w:lineRule="auto"/>
              <w:rPr>
                <w:rFonts w:ascii="Arial" w:hAnsi="Arial" w:cs="Arial"/>
                <w:sz w:val="24"/>
                <w:szCs w:val="24"/>
              </w:rPr>
            </w:pPr>
          </w:p>
          <w:p w14:paraId="074E40EA" w14:textId="77777777" w:rsidR="00125E32" w:rsidRDefault="00125E32" w:rsidP="00125E32">
            <w:pPr>
              <w:spacing w:after="0" w:line="240" w:lineRule="auto"/>
              <w:rPr>
                <w:rFonts w:ascii="Arial" w:hAnsi="Arial" w:cs="Arial"/>
                <w:sz w:val="24"/>
                <w:szCs w:val="24"/>
              </w:rPr>
            </w:pPr>
            <w:r w:rsidRPr="00D0439F">
              <w:rPr>
                <w:rFonts w:ascii="Arial" w:hAnsi="Arial" w:cs="Arial"/>
                <w:sz w:val="24"/>
                <w:szCs w:val="24"/>
              </w:rPr>
              <w:t>The absence of a zebra crossing or other means to support pupils when crossing Knowle La</w:t>
            </w:r>
            <w:r>
              <w:rPr>
                <w:rFonts w:ascii="Arial" w:hAnsi="Arial" w:cs="Arial"/>
                <w:sz w:val="24"/>
                <w:szCs w:val="24"/>
              </w:rPr>
              <w:t>ne to access the school gates was</w:t>
            </w:r>
            <w:r w:rsidRPr="00D0439F">
              <w:rPr>
                <w:rFonts w:ascii="Arial" w:hAnsi="Arial" w:cs="Arial"/>
                <w:sz w:val="24"/>
                <w:szCs w:val="24"/>
              </w:rPr>
              <w:t xml:space="preserve"> of particular concern with many Children forced to ‘weave’ amongst queuing traffic and parked vehicles. </w:t>
            </w:r>
          </w:p>
          <w:p w14:paraId="601D0143" w14:textId="77777777" w:rsidR="00125E32" w:rsidRDefault="00125E32" w:rsidP="00125E32">
            <w:pPr>
              <w:spacing w:after="0" w:line="240" w:lineRule="auto"/>
              <w:rPr>
                <w:rFonts w:ascii="Arial" w:hAnsi="Arial" w:cs="Arial"/>
                <w:sz w:val="24"/>
                <w:szCs w:val="24"/>
              </w:rPr>
            </w:pPr>
          </w:p>
          <w:p w14:paraId="53C64047" w14:textId="77777777" w:rsidR="00125E32" w:rsidRPr="00D0439F" w:rsidRDefault="00125E32" w:rsidP="00125E32">
            <w:pPr>
              <w:spacing w:after="0" w:line="240" w:lineRule="auto"/>
              <w:textAlignment w:val="baseline"/>
              <w:rPr>
                <w:rFonts w:ascii="Arial" w:hAnsi="Arial" w:cs="Arial"/>
                <w:sz w:val="24"/>
                <w:szCs w:val="24"/>
              </w:rPr>
            </w:pPr>
            <w:r w:rsidRPr="00D0439F">
              <w:rPr>
                <w:rFonts w:ascii="Arial" w:hAnsi="Arial" w:cs="Arial"/>
                <w:sz w:val="24"/>
                <w:szCs w:val="24"/>
              </w:rPr>
              <w:t>A nearby track (known locally as The C</w:t>
            </w:r>
            <w:r>
              <w:rPr>
                <w:rFonts w:ascii="Arial" w:hAnsi="Arial" w:cs="Arial"/>
                <w:sz w:val="24"/>
                <w:szCs w:val="24"/>
              </w:rPr>
              <w:t>ommon) provided</w:t>
            </w:r>
            <w:r w:rsidRPr="00D0439F">
              <w:rPr>
                <w:rFonts w:ascii="Arial" w:hAnsi="Arial" w:cs="Arial"/>
                <w:sz w:val="24"/>
                <w:szCs w:val="24"/>
              </w:rPr>
              <w:t xml:space="preserve"> access to the West connecting Higher Common Road and surroundin</w:t>
            </w:r>
            <w:r>
              <w:rPr>
                <w:rFonts w:ascii="Arial" w:hAnsi="Arial" w:cs="Arial"/>
                <w:sz w:val="24"/>
                <w:szCs w:val="24"/>
              </w:rPr>
              <w:t>g estates. Although the track was</w:t>
            </w:r>
            <w:r w:rsidRPr="00D0439F">
              <w:rPr>
                <w:rFonts w:ascii="Arial" w:hAnsi="Arial" w:cs="Arial"/>
                <w:sz w:val="24"/>
                <w:szCs w:val="24"/>
              </w:rPr>
              <w:t xml:space="preserve"> well utilised by children both walking and cycling </w:t>
            </w:r>
            <w:r>
              <w:rPr>
                <w:rFonts w:ascii="Arial" w:hAnsi="Arial" w:cs="Arial"/>
                <w:sz w:val="24"/>
                <w:szCs w:val="24"/>
              </w:rPr>
              <w:t>to and from school, the route was</w:t>
            </w:r>
            <w:r w:rsidRPr="00D0439F">
              <w:rPr>
                <w:rFonts w:ascii="Arial" w:hAnsi="Arial" w:cs="Arial"/>
                <w:sz w:val="24"/>
                <w:szCs w:val="24"/>
              </w:rPr>
              <w:t xml:space="preserve"> of poor surface, insufficient width (under 2 metres wide) and ha</w:t>
            </w:r>
            <w:r>
              <w:rPr>
                <w:rFonts w:ascii="Arial" w:hAnsi="Arial" w:cs="Arial"/>
                <w:sz w:val="24"/>
                <w:szCs w:val="24"/>
              </w:rPr>
              <w:t>d</w:t>
            </w:r>
            <w:r w:rsidRPr="00D0439F">
              <w:rPr>
                <w:rFonts w:ascii="Arial" w:hAnsi="Arial" w:cs="Arial"/>
                <w:sz w:val="24"/>
                <w:szCs w:val="24"/>
              </w:rPr>
              <w:t xml:space="preserve"> little if any lighting provision which is of major concern during winter months. </w:t>
            </w:r>
          </w:p>
          <w:p w14:paraId="779CD4EE" w14:textId="77777777" w:rsidR="00125E32" w:rsidRPr="00D0439F" w:rsidRDefault="00125E32" w:rsidP="00125E32">
            <w:pPr>
              <w:spacing w:after="0" w:line="240" w:lineRule="auto"/>
              <w:rPr>
                <w:rFonts w:ascii="Arial" w:hAnsi="Arial" w:cs="Arial"/>
                <w:sz w:val="24"/>
                <w:szCs w:val="24"/>
              </w:rPr>
            </w:pPr>
          </w:p>
          <w:p w14:paraId="56A1B94D" w14:textId="77777777" w:rsidR="00125E32" w:rsidRDefault="00125E32" w:rsidP="00125E32">
            <w:pPr>
              <w:spacing w:after="0" w:line="240" w:lineRule="auto"/>
              <w:rPr>
                <w:rFonts w:ascii="Arial" w:hAnsi="Arial" w:cs="Arial"/>
                <w:sz w:val="24"/>
                <w:szCs w:val="24"/>
              </w:rPr>
            </w:pPr>
            <w:r w:rsidRPr="005366AF">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154EAF25" w14:textId="77777777" w:rsidR="00125E32" w:rsidRDefault="00125E32" w:rsidP="00125E32">
            <w:pPr>
              <w:spacing w:after="0" w:line="240" w:lineRule="auto"/>
              <w:rPr>
                <w:rFonts w:ascii="Arial" w:hAnsi="Arial" w:cs="Arial"/>
                <w:sz w:val="24"/>
                <w:szCs w:val="24"/>
              </w:rPr>
            </w:pPr>
          </w:p>
          <w:p w14:paraId="06A1CEB3" w14:textId="77777777" w:rsidR="00125E32" w:rsidRPr="00D0439F" w:rsidRDefault="00125E32" w:rsidP="00125E32">
            <w:pPr>
              <w:spacing w:after="0" w:line="240" w:lineRule="auto"/>
              <w:rPr>
                <w:rFonts w:ascii="Arial" w:hAnsi="Arial" w:cs="Arial"/>
                <w:sz w:val="24"/>
                <w:szCs w:val="24"/>
              </w:rPr>
            </w:pPr>
            <w:r w:rsidRPr="00D0439F">
              <w:rPr>
                <w:rFonts w:ascii="Arial" w:hAnsi="Arial" w:cs="Arial"/>
                <w:sz w:val="24"/>
                <w:szCs w:val="24"/>
              </w:rPr>
              <w:t xml:space="preserve">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6B04A64" w14:textId="77777777" w:rsidR="00125E32" w:rsidRPr="00010CB0" w:rsidRDefault="00125E32" w:rsidP="00125E32">
            <w:pPr>
              <w:spacing w:after="0" w:line="240" w:lineRule="auto"/>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7422C799" w14:textId="77777777" w:rsidR="00125E32" w:rsidRPr="005366AF" w:rsidRDefault="00125E32" w:rsidP="00125E32">
            <w:pPr>
              <w:autoSpaceDE w:val="0"/>
              <w:autoSpaceDN w:val="0"/>
              <w:spacing w:after="0" w:line="240" w:lineRule="auto"/>
              <w:rPr>
                <w:rFonts w:ascii="Arial" w:hAnsi="Arial" w:cs="Arial"/>
                <w:sz w:val="24"/>
                <w:szCs w:val="24"/>
              </w:rPr>
            </w:pP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00AD814A" w14:textId="77777777" w:rsidR="00125E32" w:rsidRPr="00AF141B" w:rsidRDefault="00125E32" w:rsidP="00125E32">
            <w:pPr>
              <w:spacing w:after="0" w:line="240" w:lineRule="auto"/>
              <w:rPr>
                <w:rFonts w:ascii="Arial" w:hAnsi="Arial" w:cs="Arial"/>
                <w:sz w:val="24"/>
                <w:szCs w:val="24"/>
              </w:rPr>
            </w:pPr>
            <w:r>
              <w:rPr>
                <w:rFonts w:ascii="Arial" w:hAnsi="Arial" w:cs="Arial"/>
                <w:sz w:val="24"/>
                <w:szCs w:val="24"/>
              </w:rPr>
              <w:t>N/A</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2949E633" w14:textId="77777777" w:rsidR="00125E32" w:rsidRPr="00AF141B" w:rsidRDefault="00125E32" w:rsidP="00125E32">
            <w:pPr>
              <w:spacing w:after="0" w:line="240" w:lineRule="auto"/>
              <w:rPr>
                <w:rFonts w:ascii="Arial" w:hAnsi="Arial" w:cs="Arial"/>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47E0588E" w14:textId="77777777" w:rsidR="00125E32" w:rsidRPr="00AF141B" w:rsidRDefault="00125E32" w:rsidP="00125E32">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6FB5CC38" w14:textId="77777777" w:rsidR="00125E32" w:rsidRPr="00AF141B" w:rsidRDefault="00125E32" w:rsidP="00125E32">
            <w:pPr>
              <w:spacing w:after="0" w:line="240" w:lineRule="auto"/>
              <w:rPr>
                <w:rFonts w:ascii="Arial" w:hAnsi="Arial" w:cs="Arial"/>
                <w:sz w:val="24"/>
                <w:szCs w:val="24"/>
              </w:rPr>
            </w:pPr>
            <w:r>
              <w:rPr>
                <w:rFonts w:ascii="Arial" w:hAnsi="Arial" w:cs="Arial"/>
                <w:sz w:val="24"/>
                <w:szCs w:val="24"/>
              </w:rPr>
              <w:t>N/A</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291B8B06" w14:textId="77777777" w:rsidR="00125E32" w:rsidRDefault="00125E32" w:rsidP="00125E32">
            <w:pPr>
              <w:pStyle w:val="ListParagraph"/>
              <w:numPr>
                <w:ilvl w:val="0"/>
                <w:numId w:val="13"/>
              </w:numPr>
              <w:spacing w:after="0" w:line="240" w:lineRule="auto"/>
              <w:rPr>
                <w:rFonts w:ascii="Arial" w:hAnsi="Arial" w:cs="Arial"/>
                <w:sz w:val="24"/>
                <w:szCs w:val="24"/>
              </w:rPr>
            </w:pPr>
            <w:r w:rsidRPr="003001E5">
              <w:rPr>
                <w:rFonts w:ascii="Arial" w:hAnsi="Arial" w:cs="Arial"/>
                <w:sz w:val="24"/>
                <w:szCs w:val="24"/>
              </w:rPr>
              <w:t>Implementation of a  20mph mandatory speed limit</w:t>
            </w:r>
            <w:r>
              <w:rPr>
                <w:rFonts w:ascii="Arial" w:hAnsi="Arial" w:cs="Arial"/>
                <w:sz w:val="24"/>
                <w:szCs w:val="24"/>
              </w:rPr>
              <w:t>.</w:t>
            </w:r>
          </w:p>
          <w:p w14:paraId="20B12612" w14:textId="77777777" w:rsidR="00125E32" w:rsidRPr="003001E5" w:rsidRDefault="00125E32" w:rsidP="00125E32">
            <w:pPr>
              <w:pStyle w:val="ListParagraph"/>
              <w:numPr>
                <w:ilvl w:val="0"/>
                <w:numId w:val="13"/>
              </w:numPr>
              <w:spacing w:after="0" w:line="240" w:lineRule="auto"/>
              <w:rPr>
                <w:rFonts w:ascii="Arial" w:hAnsi="Arial" w:cs="Arial"/>
                <w:sz w:val="24"/>
                <w:szCs w:val="24"/>
              </w:rPr>
            </w:pPr>
            <w:r w:rsidRPr="00413D30">
              <w:rPr>
                <w:rFonts w:ascii="Arial" w:hAnsi="Arial" w:cs="Arial"/>
              </w:rPr>
              <w:t>Introduction of a ‘One Way’ system (except for Cyclists)</w:t>
            </w:r>
          </w:p>
          <w:p w14:paraId="470E3F8E" w14:textId="77777777" w:rsidR="00125E32" w:rsidRPr="003001E5" w:rsidRDefault="00125E32" w:rsidP="00125E32">
            <w:pPr>
              <w:pStyle w:val="ListParagraph"/>
              <w:numPr>
                <w:ilvl w:val="0"/>
                <w:numId w:val="13"/>
              </w:numPr>
              <w:spacing w:after="0" w:line="240" w:lineRule="auto"/>
              <w:rPr>
                <w:rFonts w:ascii="Arial" w:hAnsi="Arial" w:cs="Arial"/>
                <w:sz w:val="24"/>
                <w:szCs w:val="24"/>
              </w:rPr>
            </w:pPr>
            <w:r w:rsidRPr="00413D30">
              <w:rPr>
                <w:rFonts w:ascii="Arial" w:hAnsi="Arial" w:cs="Arial"/>
              </w:rPr>
              <w:t>Implementation of Cycle Friendly Traffic Calming Features at strategic intervals</w:t>
            </w:r>
          </w:p>
          <w:p w14:paraId="08A8FB36" w14:textId="77777777" w:rsidR="00125E32" w:rsidRPr="003001E5" w:rsidRDefault="00125E32" w:rsidP="00125E32">
            <w:pPr>
              <w:pStyle w:val="ListParagraph"/>
              <w:numPr>
                <w:ilvl w:val="0"/>
                <w:numId w:val="13"/>
              </w:numPr>
              <w:spacing w:after="0" w:line="240" w:lineRule="auto"/>
              <w:rPr>
                <w:rFonts w:ascii="Arial" w:hAnsi="Arial" w:cs="Arial"/>
                <w:sz w:val="24"/>
                <w:szCs w:val="24"/>
              </w:rPr>
            </w:pPr>
            <w:r w:rsidRPr="00413D30">
              <w:rPr>
                <w:rFonts w:ascii="Arial" w:hAnsi="Arial" w:cs="Arial"/>
              </w:rPr>
              <w:t>Zebra Crossing adjacent to the frontage of the main School building to be integrated within a proposed 8m long Raised Table.</w:t>
            </w:r>
          </w:p>
          <w:p w14:paraId="55BA0B2D" w14:textId="77777777" w:rsidR="00125E32" w:rsidRDefault="00125E32" w:rsidP="00125E32">
            <w:pPr>
              <w:pStyle w:val="ListParagraph"/>
              <w:numPr>
                <w:ilvl w:val="0"/>
                <w:numId w:val="13"/>
              </w:numPr>
              <w:spacing w:after="0" w:line="240" w:lineRule="auto"/>
              <w:rPr>
                <w:rFonts w:ascii="Arial" w:hAnsi="Arial" w:cs="Arial"/>
                <w:sz w:val="24"/>
                <w:szCs w:val="24"/>
              </w:rPr>
            </w:pPr>
            <w:r w:rsidRPr="00413D30">
              <w:rPr>
                <w:rFonts w:ascii="Arial" w:hAnsi="Arial" w:cs="Arial"/>
                <w:sz w:val="24"/>
                <w:szCs w:val="24"/>
              </w:rPr>
              <w:t>Implementation of parking restrictions</w:t>
            </w:r>
            <w:r>
              <w:rPr>
                <w:rFonts w:ascii="Arial" w:hAnsi="Arial" w:cs="Arial"/>
                <w:sz w:val="24"/>
                <w:szCs w:val="24"/>
              </w:rPr>
              <w:t>.</w:t>
            </w:r>
          </w:p>
          <w:p w14:paraId="5D4B9EE7" w14:textId="77777777" w:rsidR="00125E32" w:rsidRPr="002A4703" w:rsidRDefault="00125E32" w:rsidP="00125E32">
            <w:pPr>
              <w:pStyle w:val="ListParagraph"/>
              <w:numPr>
                <w:ilvl w:val="0"/>
                <w:numId w:val="13"/>
              </w:numPr>
              <w:spacing w:after="0" w:line="240" w:lineRule="auto"/>
              <w:rPr>
                <w:rFonts w:ascii="Arial" w:hAnsi="Arial" w:cs="Arial"/>
                <w:sz w:val="24"/>
                <w:szCs w:val="24"/>
              </w:rPr>
            </w:pPr>
            <w:r>
              <w:rPr>
                <w:rFonts w:ascii="Arial" w:hAnsi="Arial" w:cs="Arial"/>
              </w:rPr>
              <w:t xml:space="preserve">Implementation of a </w:t>
            </w:r>
            <w:r w:rsidRPr="00413D30">
              <w:rPr>
                <w:rFonts w:ascii="Arial" w:hAnsi="Arial" w:cs="Arial"/>
              </w:rPr>
              <w:t xml:space="preserve"> Signalised Crossing to replace the previous ineffective Zebra Crossing facility</w:t>
            </w:r>
            <w:r>
              <w:rPr>
                <w:rFonts w:ascii="Arial" w:hAnsi="Arial" w:cs="Arial"/>
              </w:rPr>
              <w:t>.</w:t>
            </w:r>
          </w:p>
          <w:p w14:paraId="391BF0CA" w14:textId="77777777" w:rsidR="00125E32" w:rsidRPr="002A4703" w:rsidRDefault="00125E32" w:rsidP="00125E32">
            <w:pPr>
              <w:pStyle w:val="ListParagraph"/>
              <w:numPr>
                <w:ilvl w:val="0"/>
                <w:numId w:val="13"/>
              </w:numPr>
              <w:spacing w:after="0" w:line="240" w:lineRule="auto"/>
              <w:rPr>
                <w:rFonts w:ascii="Arial" w:hAnsi="Arial" w:cs="Arial"/>
                <w:sz w:val="24"/>
                <w:szCs w:val="24"/>
              </w:rPr>
            </w:pPr>
            <w:r>
              <w:rPr>
                <w:rFonts w:ascii="Arial" w:hAnsi="Arial" w:cs="Arial"/>
              </w:rPr>
              <w:t xml:space="preserve">The </w:t>
            </w:r>
            <w:r w:rsidRPr="00413D30">
              <w:rPr>
                <w:rFonts w:ascii="Arial" w:hAnsi="Arial" w:cs="Arial"/>
              </w:rPr>
              <w:t xml:space="preserve">upgrade </w:t>
            </w:r>
            <w:r>
              <w:rPr>
                <w:rFonts w:ascii="Arial" w:hAnsi="Arial" w:cs="Arial"/>
              </w:rPr>
              <w:t xml:space="preserve">of an </w:t>
            </w:r>
            <w:r w:rsidRPr="00413D30">
              <w:rPr>
                <w:rFonts w:ascii="Arial" w:hAnsi="Arial" w:cs="Arial"/>
              </w:rPr>
              <w:t>existing footpath to achieve a 3m wide Shared Use Footway / Cycleway Facility.</w:t>
            </w:r>
          </w:p>
          <w:p w14:paraId="7FF14C4C" w14:textId="77777777" w:rsidR="00125E32" w:rsidRPr="003001E5" w:rsidRDefault="00125E32" w:rsidP="00125E32">
            <w:pPr>
              <w:pStyle w:val="ListParagraph"/>
              <w:numPr>
                <w:ilvl w:val="0"/>
                <w:numId w:val="13"/>
              </w:numPr>
              <w:spacing w:after="0" w:line="240" w:lineRule="auto"/>
              <w:rPr>
                <w:rFonts w:ascii="Arial" w:hAnsi="Arial" w:cs="Arial"/>
                <w:sz w:val="24"/>
                <w:szCs w:val="24"/>
              </w:rPr>
            </w:pPr>
            <w:r w:rsidRPr="00413D30">
              <w:rPr>
                <w:rFonts w:ascii="Arial" w:hAnsi="Arial" w:cs="Arial"/>
              </w:rPr>
              <w:t>Implementation of Quiet Street Measures</w:t>
            </w:r>
            <w:r>
              <w:rPr>
                <w:rFonts w:ascii="Arial" w:hAnsi="Arial" w:cs="Arial"/>
              </w:rPr>
              <w:t>.</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2A1EC392" w14:textId="77777777" w:rsidR="00125E32" w:rsidRPr="00AF141B" w:rsidRDefault="00125E32" w:rsidP="00125E32">
            <w:pPr>
              <w:spacing w:after="0" w:line="240" w:lineRule="auto"/>
              <w:rPr>
                <w:rFonts w:ascii="Arial" w:hAnsi="Arial" w:cs="Arial"/>
                <w:sz w:val="24"/>
                <w:szCs w:val="24"/>
              </w:rPr>
            </w:pPr>
            <w:r>
              <w:rPr>
                <w:rFonts w:ascii="Arial" w:hAnsi="Arial" w:cs="Arial"/>
                <w:sz w:val="24"/>
                <w:szCs w:val="24"/>
              </w:rPr>
              <w:t>The 3 meter shared use facilities, Zebra Crossing and the One Way system. Also, the new improved shared facility through the common is greatly used for walking and cycling to school. . More children are walking to school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577C73B2" w14:textId="77777777" w:rsidR="00125E32" w:rsidRPr="007D5B2C" w:rsidRDefault="00125E32" w:rsidP="00125E32">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313C693" w14:textId="77777777" w:rsidR="00125E32" w:rsidRDefault="00125E32" w:rsidP="00125E32">
            <w:pPr>
              <w:spacing w:after="0" w:line="240" w:lineRule="auto"/>
              <w:rPr>
                <w:rFonts w:ascii="Arial" w:hAnsi="Arial" w:cs="Arial"/>
                <w:b/>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34EAF22C" w14:textId="77777777" w:rsidR="00125E32" w:rsidRDefault="00125E32" w:rsidP="00125E32">
            <w:pPr>
              <w:spacing w:after="0" w:line="240" w:lineRule="auto"/>
              <w:rPr>
                <w:rFonts w:ascii="Arial" w:hAnsi="Arial" w:cs="Arial"/>
                <w:b/>
                <w:sz w:val="24"/>
                <w:szCs w:val="24"/>
              </w:rPr>
            </w:pPr>
            <w:r w:rsidRPr="00277846">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73FDE1D0" w14:textId="77777777" w:rsidR="00125E32" w:rsidRDefault="00125E32" w:rsidP="00125E32">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0E452995" w14:textId="77777777" w:rsidR="00125E32" w:rsidRDefault="00125E32" w:rsidP="00125E32">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3ED25380" w14:textId="77777777" w:rsidR="00125E32" w:rsidRPr="00A352F6" w:rsidRDefault="00125E32" w:rsidP="00125E32">
            <w:pPr>
              <w:pStyle w:val="ListParagraph"/>
              <w:numPr>
                <w:ilvl w:val="0"/>
                <w:numId w:val="14"/>
              </w:numPr>
              <w:rPr>
                <w:rFonts w:ascii="Arial" w:hAnsi="Arial" w:cs="Arial"/>
                <w:sz w:val="24"/>
                <w:szCs w:val="24"/>
              </w:rPr>
            </w:pPr>
            <w:r w:rsidRPr="00A352F6">
              <w:rPr>
                <w:rFonts w:ascii="Arial" w:hAnsi="Arial" w:cs="Arial"/>
                <w:sz w:val="24"/>
                <w:szCs w:val="24"/>
              </w:rPr>
              <w:lastRenderedPageBreak/>
              <w:t xml:space="preserve">The improvements would greatly improve both the quality and safety of routes to and from Mountain Lane School, directly contributing to the casualty reduction of both pupils and the wider community by maintaining an environment of zero KSI’s. </w:t>
            </w:r>
          </w:p>
          <w:p w14:paraId="25DA388F" w14:textId="77777777" w:rsidR="00125E32" w:rsidRDefault="00125E32" w:rsidP="00125E32">
            <w:pPr>
              <w:pStyle w:val="ListParagraph"/>
              <w:numPr>
                <w:ilvl w:val="0"/>
                <w:numId w:val="14"/>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parents and local residents.  </w:t>
            </w:r>
          </w:p>
          <w:p w14:paraId="3FB87E5F" w14:textId="77777777" w:rsidR="00125E32" w:rsidRPr="00453C9C" w:rsidRDefault="00125E32" w:rsidP="00125E32">
            <w:pPr>
              <w:pStyle w:val="ListParagraph"/>
              <w:numPr>
                <w:ilvl w:val="0"/>
                <w:numId w:val="14"/>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23D4D3BC" w14:textId="77777777" w:rsidR="00125E32" w:rsidRPr="00453C9C" w:rsidRDefault="00125E32" w:rsidP="00125E32">
            <w:pPr>
              <w:pStyle w:val="ListParagraph"/>
              <w:numPr>
                <w:ilvl w:val="0"/>
                <w:numId w:val="14"/>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36CBA93E" w14:textId="77777777" w:rsidR="00125E32" w:rsidRPr="00AF141B" w:rsidRDefault="00125E32" w:rsidP="00125E32">
            <w:pPr>
              <w:pStyle w:val="ListParagraph"/>
              <w:rPr>
                <w:rFonts w:ascii="Arial" w:hAnsi="Arial" w:cs="Arial"/>
                <w:sz w:val="24"/>
                <w:szCs w:val="24"/>
              </w:rPr>
            </w:pPr>
            <w:r w:rsidRPr="00A352F6">
              <w:rPr>
                <w:rFonts w:ascii="Arial" w:hAnsi="Arial" w:cs="Arial"/>
                <w:sz w:val="24"/>
                <w:szCs w:val="24"/>
              </w:rPr>
              <w:t>The anticipated outcomes were to increase active travel.</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7DBFD0A5" w14:textId="77777777" w:rsidR="00125E32" w:rsidRPr="007D5B2C" w:rsidRDefault="00125E32" w:rsidP="00125E32">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366ADF11" w14:textId="77777777" w:rsidR="00125E32" w:rsidRDefault="00125E32" w:rsidP="00125E32">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3CFC50AA" w14:textId="77777777" w:rsidR="00125E32" w:rsidRDefault="00125E32" w:rsidP="00125E32">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36AF5A28" w14:textId="77777777" w:rsidR="00125E32" w:rsidRPr="00940D3B" w:rsidRDefault="00125E32" w:rsidP="00125E32">
            <w:pPr>
              <w:pStyle w:val="ListParagraph"/>
              <w:spacing w:line="240" w:lineRule="auto"/>
              <w:rPr>
                <w:rFonts w:ascii="Arial" w:hAnsi="Arial" w:cs="Arial"/>
                <w:b/>
                <w:sz w:val="24"/>
                <w:szCs w:val="24"/>
              </w:rPr>
            </w:pPr>
            <w:r w:rsidRPr="00940D3B">
              <w:rPr>
                <w:rFonts w:ascii="Arial" w:hAnsi="Arial" w:cs="Arial"/>
                <w:sz w:val="24"/>
                <w:szCs w:val="24"/>
              </w:rPr>
              <w:t xml:space="preserve">Feedback through North </w:t>
            </w:r>
            <w:proofErr w:type="spellStart"/>
            <w:r w:rsidRPr="00940D3B">
              <w:rPr>
                <w:rFonts w:ascii="Arial" w:hAnsi="Arial" w:cs="Arial"/>
                <w:sz w:val="24"/>
                <w:szCs w:val="24"/>
              </w:rPr>
              <w:t>wales</w:t>
            </w:r>
            <w:proofErr w:type="spellEnd"/>
            <w:r w:rsidRPr="00940D3B">
              <w:rPr>
                <w:rFonts w:ascii="Arial" w:hAnsi="Arial" w:cs="Arial"/>
                <w:sz w:val="24"/>
                <w:szCs w:val="24"/>
              </w:rPr>
              <w:t xml:space="preserve">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103DED6" w14:textId="77777777" w:rsidR="00125E32" w:rsidRDefault="00125E32" w:rsidP="00125E32">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01EC7A42" w14:textId="77777777" w:rsidR="00125E32" w:rsidRDefault="00125E32" w:rsidP="00125E32">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24D2275F" w14:textId="77777777" w:rsidR="00125E32" w:rsidRPr="001E6AE5" w:rsidRDefault="00125E32" w:rsidP="00125E32">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w:t>
            </w:r>
            <w:r>
              <w:rPr>
                <w:rFonts w:ascii="Arial" w:hAnsi="Arial" w:cs="Arial"/>
                <w:sz w:val="24"/>
                <w:szCs w:val="24"/>
              </w:rPr>
              <w:t xml:space="preserve"> of routes to and from Mountain Lane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w:t>
            </w:r>
            <w:r w:rsidRPr="001E6AE5">
              <w:rPr>
                <w:rFonts w:ascii="Arial" w:hAnsi="Arial" w:cs="Arial"/>
                <w:sz w:val="24"/>
                <w:szCs w:val="24"/>
              </w:rPr>
              <w:lastRenderedPageBreak/>
              <w:t>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744D0" w14:textId="77777777" w:rsidR="00B5066A" w:rsidRDefault="00B5066A">
      <w:r>
        <w:separator/>
      </w:r>
    </w:p>
  </w:endnote>
  <w:endnote w:type="continuationSeparator" w:id="0">
    <w:p w14:paraId="10F014AC" w14:textId="77777777" w:rsidR="00B5066A" w:rsidRDefault="00B50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125E32">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D0FDF" w14:textId="77777777" w:rsidR="00B5066A" w:rsidRDefault="00B5066A">
      <w:r>
        <w:separator/>
      </w:r>
    </w:p>
  </w:footnote>
  <w:footnote w:type="continuationSeparator" w:id="0">
    <w:p w14:paraId="01085F72" w14:textId="77777777" w:rsidR="00B5066A" w:rsidRDefault="00B50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5A144CA"/>
    <w:multiLevelType w:val="hybridMultilevel"/>
    <w:tmpl w:val="8F983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354624755">
    <w:abstractNumId w:val="6"/>
  </w:num>
  <w:num w:numId="2" w16cid:durableId="1725449944">
    <w:abstractNumId w:val="5"/>
  </w:num>
  <w:num w:numId="3" w16cid:durableId="572590229">
    <w:abstractNumId w:val="8"/>
  </w:num>
  <w:num w:numId="4" w16cid:durableId="82999857">
    <w:abstractNumId w:val="0"/>
  </w:num>
  <w:num w:numId="5" w16cid:durableId="925386268">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924682708">
    <w:abstractNumId w:val="12"/>
  </w:num>
  <w:num w:numId="7" w16cid:durableId="873076572">
    <w:abstractNumId w:val="2"/>
  </w:num>
  <w:num w:numId="8" w16cid:durableId="933511614">
    <w:abstractNumId w:val="11"/>
  </w:num>
  <w:num w:numId="9" w16cid:durableId="2107310452">
    <w:abstractNumId w:val="4"/>
  </w:num>
  <w:num w:numId="10" w16cid:durableId="4009797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309482801">
    <w:abstractNumId w:val="9"/>
  </w:num>
  <w:num w:numId="12" w16cid:durableId="1295255148">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314412278">
    <w:abstractNumId w:val="3"/>
  </w:num>
  <w:num w:numId="14" w16cid:durableId="1664622193">
    <w:abstractNumId w:val="10"/>
  </w:num>
  <w:num w:numId="15" w16cid:durableId="21983127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5E32"/>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54876"/>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6369"/>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066A"/>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0E04"/>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654876"/>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654876"/>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186796814">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e08eb589b52e4271"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A48678963</value>
    </field>
    <field name="Objective-Title">
      <value order="0">SRiC - Flintshire - 2019-20 - Annual Report - Mountain Lane</value>
    </field>
    <field name="Objective-Description">
      <value order="0"/>
    </field>
    <field name="Objective-CreationStamp">
      <value order="0">2023-12-08T14:48:46Z</value>
    </field>
    <field name="Objective-IsApproved">
      <value order="0">false</value>
    </field>
    <field name="Objective-IsPublished">
      <value order="0">true</value>
    </field>
    <field name="Objective-DatePublished">
      <value order="0">2024-01-12T12:27:39Z</value>
    </field>
    <field name="Objective-ModificationStamp">
      <value order="0">2024-01-12T12:27:39Z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vA91946368</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88884-15E4-4406-BE89-6AFEED14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15</Pages>
  <Words>2627</Words>
  <Characters>14977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17569</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2023-12-08T14:48:00Z</dcterms:created>
  <dcterms:modified xsi:type="dcterms:W3CDTF">2024-01-12T12:27:00Z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A48678963</vt:lpwstr>
  </property>
  <property fmtid="{D5CDD505-2E9C-101B-9397-08002B2CF9AE}" pid="5" name="Objective-Title">
    <vt:lpwstr>SRiC - Flintshire - 2019-20 - Annual Report - Mountain Lane</vt:lpwstr>
  </property>
  <property fmtid="{D5CDD505-2E9C-101B-9397-08002B2CF9AE}" pid="6" name="Objective-Comment">
    <vt:lpwstr/>
  </property>
  <property fmtid="{D5CDD505-2E9C-101B-9397-08002B2CF9AE}" pid="7" name="Objective-CreationStamp">
    <vt:filetime>2023-12-08T14:48:46Z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2024-01-12T12:27:39Z</vt:filetime>
  </property>
  <property fmtid="{D5CDD505-2E9C-101B-9397-08002B2CF9AE}" pid="11" name="Objective-ModificationStamp">
    <vt:filetime>2024-01-12T12:27:39Z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vA91946368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